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EA739" w14:textId="77777777" w:rsidR="00B940A4" w:rsidRDefault="00B940A4" w:rsidP="00B940A4">
      <w:pPr>
        <w:pStyle w:val="Titre1"/>
        <w:numPr>
          <w:ilvl w:val="0"/>
          <w:numId w:val="1"/>
        </w:numPr>
      </w:pPr>
      <w:bookmarkStart w:id="0" w:name="_Toc43918086"/>
      <w:r>
        <w:t>Etude de la performance énergétique de la batterie</w:t>
      </w:r>
      <w:bookmarkEnd w:id="0"/>
    </w:p>
    <w:p w14:paraId="50B227E6" w14:textId="77777777" w:rsidR="00B940A4" w:rsidRDefault="00B940A4" w:rsidP="00B940A4">
      <w:pPr>
        <w:pStyle w:val="Titre2"/>
      </w:pPr>
      <w:bookmarkStart w:id="1" w:name="_Toc43918087"/>
      <w:r>
        <w:t>Validation de la conception de la Batterie</w:t>
      </w:r>
      <w:bookmarkEnd w:id="1"/>
    </w:p>
    <w:p w14:paraId="7BF58C42" w14:textId="77777777" w:rsidR="00B940A4" w:rsidRDefault="00B940A4" w:rsidP="00B940A4">
      <w:pPr>
        <w:pStyle w:val="Paragraphedeliste"/>
        <w:numPr>
          <w:ilvl w:val="0"/>
          <w:numId w:val="2"/>
        </w:numPr>
      </w:pPr>
      <w:r w:rsidRPr="007109E1">
        <w:rPr>
          <w:b/>
          <w:bCs/>
        </w:rPr>
        <w:t>Relever</w:t>
      </w:r>
      <w:r>
        <w:t xml:space="preserve"> sur la documentation technique (Annexe1) le courant maximal consommé par le moteur électrique pour le couple maximal attendu.</w:t>
      </w:r>
    </w:p>
    <w:p w14:paraId="1612BB3D" w14:textId="77777777" w:rsidR="00B940A4" w:rsidRDefault="00B940A4" w:rsidP="00B940A4">
      <w:pPr>
        <w:pStyle w:val="Paragraphedeliste"/>
      </w:pPr>
    </w:p>
    <w:p w14:paraId="67A5BEFE" w14:textId="2E830FDC" w:rsidR="00B940A4" w:rsidRDefault="00B940A4" w:rsidP="00B940A4">
      <w:pPr>
        <w:pStyle w:val="Paragraphedeliste"/>
        <w:numPr>
          <w:ilvl w:val="0"/>
          <w:numId w:val="2"/>
        </w:numPr>
      </w:pPr>
      <w:r w:rsidRPr="007109E1">
        <w:rPr>
          <w:b/>
          <w:bCs/>
        </w:rPr>
        <w:t>Relever</w:t>
      </w:r>
      <w:r>
        <w:t xml:space="preserve"> la tension maximale nécessaire pour la rotation maximale calculée dans l’</w:t>
      </w:r>
      <w:r w:rsidR="00AA58D3">
        <w:t>A</w:t>
      </w:r>
      <w:r>
        <w:t>ctivité 2</w:t>
      </w:r>
    </w:p>
    <w:p w14:paraId="5C9CFA14" w14:textId="77777777" w:rsidR="00B940A4" w:rsidRDefault="00B940A4" w:rsidP="00B940A4">
      <w:pPr>
        <w:pStyle w:val="Paragraphedeliste"/>
      </w:pPr>
    </w:p>
    <w:p w14:paraId="0D32A903" w14:textId="77777777" w:rsidR="00B940A4" w:rsidRDefault="00B940A4" w:rsidP="00B940A4">
      <w:pPr>
        <w:pStyle w:val="Paragraphedeliste"/>
        <w:ind w:left="284"/>
        <w:jc w:val="both"/>
      </w:pPr>
      <w:r>
        <w:t>Pour réaliser la batterie nous allons utiliser des Accumulateur au Lithium ion de type 18650. Ce type d’accumulateur est très répandu dans la conception des batteries de VAE, car ils sont très performants, et ont une durée de vie de plusieurs années (1000 cycles de charge-décharge).</w:t>
      </w:r>
    </w:p>
    <w:p w14:paraId="6B8A8019" w14:textId="77777777" w:rsidR="00B940A4" w:rsidRDefault="00B940A4" w:rsidP="00B940A4">
      <w:pPr>
        <w:pStyle w:val="Paragraphedeliste"/>
        <w:ind w:left="284"/>
        <w:jc w:val="both"/>
      </w:pPr>
      <w:r>
        <w:t>L’un des inconvénients est qu’ils ne peuvent pas délivrer des intensités trop importantes (&lt;20A).</w:t>
      </w:r>
    </w:p>
    <w:p w14:paraId="3B613F23" w14:textId="77777777" w:rsidR="00B940A4" w:rsidRDefault="00B940A4" w:rsidP="00B940A4">
      <w:pPr>
        <w:pStyle w:val="Paragraphedeliste"/>
        <w:ind w:left="284"/>
        <w:jc w:val="both"/>
      </w:pPr>
      <w:r>
        <w:t>La tension (</w:t>
      </w:r>
      <w:proofErr w:type="spellStart"/>
      <w:r>
        <w:t>cf</w:t>
      </w:r>
      <w:proofErr w:type="spellEnd"/>
      <w:r>
        <w:t xml:space="preserve"> annexe2) de ces accumulateurs oscille entre 3.2V(déchargés à 80%) et 4.2V (pleine charge).</w:t>
      </w:r>
    </w:p>
    <w:p w14:paraId="1CBFE587" w14:textId="77777777" w:rsidR="00B940A4" w:rsidRDefault="00B940A4" w:rsidP="00B940A4">
      <w:pPr>
        <w:pStyle w:val="Paragraphedeliste"/>
        <w:ind w:left="284"/>
        <w:jc w:val="both"/>
      </w:pPr>
      <w:r>
        <w:t>Le courant maximal que ce type d’accumulateur peut alors délivrer en décharge est 10*</w:t>
      </w:r>
      <w:proofErr w:type="spellStart"/>
      <w:r>
        <w:t>Ic</w:t>
      </w:r>
      <w:proofErr w:type="spellEnd"/>
      <w:r>
        <w:t xml:space="preserve">, avec </w:t>
      </w:r>
      <w:proofErr w:type="spellStart"/>
      <w:r>
        <w:t>Ic</w:t>
      </w:r>
      <w:proofErr w:type="spellEnd"/>
      <w:r>
        <w:t xml:space="preserve"> son intensité de charge nominale. Nous remarquerons donc qu’en théorie nous ne pourrons pas charger les accus avec un courant supérieur à 2A (idéalement 1A).</w:t>
      </w:r>
    </w:p>
    <w:p w14:paraId="08D52E49" w14:textId="77777777" w:rsidR="00B940A4" w:rsidRDefault="00B940A4" w:rsidP="00B940A4">
      <w:pPr>
        <w:pStyle w:val="Paragraphedeliste"/>
        <w:ind w:left="284"/>
        <w:rPr>
          <w:b/>
          <w:bCs/>
          <w:i/>
          <w:iCs/>
        </w:rPr>
      </w:pPr>
    </w:p>
    <w:p w14:paraId="755D4982" w14:textId="77777777" w:rsidR="00B940A4" w:rsidRDefault="00B940A4" w:rsidP="00B940A4">
      <w:pPr>
        <w:pStyle w:val="Paragraphedeliste"/>
        <w:ind w:left="284"/>
      </w:pPr>
      <w:r w:rsidRPr="00CD4286">
        <w:rPr>
          <w:b/>
          <w:bCs/>
          <w:i/>
          <w:iCs/>
        </w:rPr>
        <w:t>Rappel</w:t>
      </w:r>
      <w:r>
        <w:rPr>
          <w:b/>
          <w:bCs/>
          <w:i/>
          <w:iCs/>
        </w:rPr>
        <w:t>s sur l’association des générateurs en série ou en parallèle</w:t>
      </w:r>
    </w:p>
    <w:p w14:paraId="16D9F9C3" w14:textId="77777777" w:rsidR="00B940A4" w:rsidRDefault="00B940A4" w:rsidP="00B940A4">
      <w:pPr>
        <w:pStyle w:val="Paragraphedeliste"/>
        <w:ind w:left="0"/>
      </w:pPr>
      <w:r>
        <w:rPr>
          <w:noProof/>
        </w:rPr>
        <mc:AlternateContent>
          <mc:Choice Requires="wps">
            <w:drawing>
              <wp:anchor distT="45720" distB="45720" distL="114300" distR="114300" simplePos="0" relativeHeight="251659264" behindDoc="0" locked="0" layoutInCell="1" allowOverlap="1" wp14:anchorId="4CCE67C5" wp14:editId="256FC743">
                <wp:simplePos x="0" y="0"/>
                <wp:positionH relativeFrom="column">
                  <wp:posOffset>3199765</wp:posOffset>
                </wp:positionH>
                <wp:positionV relativeFrom="paragraph">
                  <wp:posOffset>170180</wp:posOffset>
                </wp:positionV>
                <wp:extent cx="2979420" cy="4000500"/>
                <wp:effectExtent l="0" t="0" r="11430" b="19050"/>
                <wp:wrapSquare wrapText="bothSides"/>
                <wp:docPr id="3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4000500"/>
                        </a:xfrm>
                        <a:prstGeom prst="rect">
                          <a:avLst/>
                        </a:prstGeom>
                        <a:solidFill>
                          <a:srgbClr val="FFFFFF"/>
                        </a:solidFill>
                        <a:ln w="9525">
                          <a:solidFill>
                            <a:srgbClr val="000000"/>
                          </a:solidFill>
                          <a:miter lim="800000"/>
                          <a:headEnd/>
                          <a:tailEnd/>
                        </a:ln>
                      </wps:spPr>
                      <wps:txbx>
                        <w:txbxContent>
                          <w:p w14:paraId="0E7ED190" w14:textId="77777777" w:rsidR="00B940A4" w:rsidRDefault="00B940A4" w:rsidP="00B940A4">
                            <w:r>
                              <w:rPr>
                                <w:noProof/>
                              </w:rPr>
                              <w:drawing>
                                <wp:inline distT="0" distB="0" distL="0" distR="0" wp14:anchorId="69F3BDC2" wp14:editId="46C39DEF">
                                  <wp:extent cx="1424940" cy="1211580"/>
                                  <wp:effectExtent l="0" t="0" r="3810" b="7620"/>
                                  <wp:docPr id="411" name="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92" t="33413" r="74730" b="31403"/>
                                          <a:stretch/>
                                        </pic:blipFill>
                                        <pic:spPr bwMode="auto">
                                          <a:xfrm>
                                            <a:off x="0" y="0"/>
                                            <a:ext cx="1424940" cy="1211580"/>
                                          </a:xfrm>
                                          <a:prstGeom prst="rect">
                                            <a:avLst/>
                                          </a:prstGeom>
                                          <a:ln>
                                            <a:noFill/>
                                          </a:ln>
                                          <a:extLst>
                                            <a:ext uri="{53640926-AAD7-44D8-BBD7-CCE9431645EC}">
                                              <a14:shadowObscured xmlns:a14="http://schemas.microsoft.com/office/drawing/2010/main"/>
                                            </a:ext>
                                          </a:extLst>
                                        </pic:spPr>
                                      </pic:pic>
                                    </a:graphicData>
                                  </a:graphic>
                                </wp:inline>
                              </w:drawing>
                            </w:r>
                          </w:p>
                          <w:p w14:paraId="323A3889" w14:textId="77777777" w:rsidR="00B940A4" w:rsidRDefault="00B940A4" w:rsidP="00B940A4">
                            <w:pPr>
                              <w:jc w:val="both"/>
                            </w:pPr>
                            <w:r w:rsidRPr="00A25AB6">
                              <w:rPr>
                                <w:b/>
                                <w:bCs/>
                              </w:rPr>
                              <w:t>Les générateurs en parallèle // :</w:t>
                            </w:r>
                            <w:r w:rsidRPr="00A25AB6">
                              <w:br/>
                            </w:r>
                            <w:r w:rsidRPr="00A25AB6">
                              <w:br/>
                              <w:t>Que se passe-t-il si nous connectons maintenant nos générateurs comme le montage l'indique ?</w:t>
                            </w:r>
                          </w:p>
                          <w:p w14:paraId="7E97B496" w14:textId="77777777" w:rsidR="00B940A4" w:rsidRPr="00A25AB6" w:rsidRDefault="00B940A4" w:rsidP="00B940A4">
                            <w:pPr>
                              <w:jc w:val="both"/>
                            </w:pPr>
                            <w:r w:rsidRPr="00A25AB6">
                              <w:t>- Nous remarquons que les résistances internes se retrouvent en parallèle, ce qui diminue la résistance interne globale</w:t>
                            </w:r>
                            <w:r w:rsidRPr="00A25AB6">
                              <w:br/>
                              <w:t>- La tension totale (on suppose les générateurs identiques) = la tension d'un générateur</w:t>
                            </w:r>
                            <w:r w:rsidRPr="00A25AB6">
                              <w:br/>
                              <w:t>- le courant total disponible</w:t>
                            </w:r>
                            <w:r w:rsidRPr="0060049F">
                              <w:t xml:space="preserve"> est égal à la somme des courants pouvant être fournis par les générateurs.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E67C5" id="_x0000_t202" coordsize="21600,21600" o:spt="202" path="m,l,21600r21600,l21600,xe">
                <v:stroke joinstyle="miter"/>
                <v:path gradientshapeok="t" o:connecttype="rect"/>
              </v:shapetype>
              <v:shape id="Zone de texte 2" o:spid="_x0000_s1026" type="#_x0000_t202" style="position:absolute;margin-left:251.95pt;margin-top:13.4pt;width:234.6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">
                <v:textbox>
                  <w:txbxContent>
                    <w:p w14:paraId="0E7ED190" w14:textId="77777777" w:rsidR="00B940A4" w:rsidRDefault="00B940A4" w:rsidP="00B940A4">
                      <w:r>
                        <w:rPr>
                          <w:noProof/>
                        </w:rPr>
                        <w:drawing>
                          <wp:inline distT="0" distB="0" distL="0" distR="0" wp14:anchorId="69F3BDC2" wp14:editId="46C39DEF">
                            <wp:extent cx="1424940" cy="1211580"/>
                            <wp:effectExtent l="0" t="0" r="3810" b="7620"/>
                            <wp:docPr id="411" name="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92" t="33413" r="74730" b="31403"/>
                                    <a:stretch/>
                                  </pic:blipFill>
                                  <pic:spPr bwMode="auto">
                                    <a:xfrm>
                                      <a:off x="0" y="0"/>
                                      <a:ext cx="1424940" cy="1211580"/>
                                    </a:xfrm>
                                    <a:prstGeom prst="rect">
                                      <a:avLst/>
                                    </a:prstGeom>
                                    <a:ln>
                                      <a:noFill/>
                                    </a:ln>
                                    <a:extLst>
                                      <a:ext uri="{53640926-AAD7-44D8-BBD7-CCE9431645EC}">
                                        <a14:shadowObscured xmlns:a14="http://schemas.microsoft.com/office/drawing/2010/main"/>
                                      </a:ext>
                                    </a:extLst>
                                  </pic:spPr>
                                </pic:pic>
                              </a:graphicData>
                            </a:graphic>
                          </wp:inline>
                        </w:drawing>
                      </w:r>
                    </w:p>
                    <w:p w14:paraId="323A3889" w14:textId="77777777" w:rsidR="00B940A4" w:rsidRDefault="00B940A4" w:rsidP="00B940A4">
                      <w:pPr>
                        <w:jc w:val="both"/>
                      </w:pPr>
                      <w:r w:rsidRPr="00A25AB6">
                        <w:rPr>
                          <w:b/>
                          <w:bCs/>
                        </w:rPr>
                        <w:t>Les générateurs en parallèle // :</w:t>
                      </w:r>
                      <w:r w:rsidRPr="00A25AB6">
                        <w:br/>
                      </w:r>
                      <w:r w:rsidRPr="00A25AB6">
                        <w:br/>
                        <w:t>Que se passe-t-il si nous connectons maintenant nos générateurs comme le montage l'indique ?</w:t>
                      </w:r>
                    </w:p>
                    <w:p w14:paraId="7E97B496" w14:textId="77777777" w:rsidR="00B940A4" w:rsidRPr="00A25AB6" w:rsidRDefault="00B940A4" w:rsidP="00B940A4">
                      <w:pPr>
                        <w:jc w:val="both"/>
                      </w:pPr>
                      <w:r w:rsidRPr="00A25AB6">
                        <w:t>- Nous remarquons que les résistances internes se retrouvent en parallèle, ce qui diminue la résistance interne globale</w:t>
                      </w:r>
                      <w:r w:rsidRPr="00A25AB6">
                        <w:br/>
                        <w:t>- La tension totale (on suppose les générateurs identiques) = la tension d'un générateur</w:t>
                      </w:r>
                      <w:r w:rsidRPr="00A25AB6">
                        <w:br/>
                        <w:t>- le courant total disponible</w:t>
                      </w:r>
                      <w:r w:rsidRPr="0060049F">
                        <w:t xml:space="preserve"> est égal à la somme des courants pouvant être fournis par les générateurs.</w:t>
                      </w:r>
                    </w:p>
                  </w:txbxContent>
                </v:textbox>
                <w10:wrap type="square"/>
              </v:shape>
            </w:pict>
          </mc:Fallback>
        </mc:AlternateContent>
      </w:r>
      <w:r>
        <w:rPr>
          <w:noProof/>
        </w:rPr>
        <w:drawing>
          <wp:inline distT="0" distB="0" distL="0" distR="0" wp14:anchorId="4C3C0EE2" wp14:editId="3713E120">
            <wp:extent cx="3007995" cy="4267200"/>
            <wp:effectExtent l="0" t="0" r="1905" b="0"/>
            <wp:docPr id="375" name="Image 37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7995" cy="4267200"/>
                    </a:xfrm>
                    <a:prstGeom prst="rect">
                      <a:avLst/>
                    </a:prstGeom>
                    <a:noFill/>
                    <a:ln>
                      <a:noFill/>
                    </a:ln>
                  </pic:spPr>
                </pic:pic>
              </a:graphicData>
            </a:graphic>
          </wp:inline>
        </w:drawing>
      </w:r>
    </w:p>
    <w:p w14:paraId="434F794B" w14:textId="77777777" w:rsidR="00B940A4" w:rsidRDefault="00B940A4" w:rsidP="00B940A4">
      <w:pPr>
        <w:pStyle w:val="Paragraphedeliste"/>
      </w:pPr>
    </w:p>
    <w:p w14:paraId="5AED08B6" w14:textId="77777777" w:rsidR="00B940A4" w:rsidRDefault="00B940A4" w:rsidP="00B940A4">
      <w:pPr>
        <w:pStyle w:val="Paragraphedeliste"/>
        <w:numPr>
          <w:ilvl w:val="0"/>
          <w:numId w:val="2"/>
        </w:numPr>
        <w:jc w:val="both"/>
      </w:pPr>
      <w:r>
        <w:t xml:space="preserve">Pour obtenir la tension maximale nécessaire combien d’accumulateurs </w:t>
      </w:r>
      <w:r w:rsidRPr="00CD4286">
        <w:rPr>
          <w:b/>
          <w:bCs/>
        </w:rPr>
        <w:t>doit-on utiliser</w:t>
      </w:r>
      <w:r>
        <w:t xml:space="preserve">. Comment les </w:t>
      </w:r>
      <w:r w:rsidRPr="00CD4286">
        <w:rPr>
          <w:b/>
          <w:bCs/>
        </w:rPr>
        <w:t>brancher</w:t>
      </w:r>
      <w:r>
        <w:t> ?</w:t>
      </w:r>
    </w:p>
    <w:p w14:paraId="52741F7C" w14:textId="77777777" w:rsidR="00B940A4" w:rsidRDefault="00B940A4" w:rsidP="00B940A4">
      <w:pPr>
        <w:pStyle w:val="Paragraphedeliste"/>
        <w:numPr>
          <w:ilvl w:val="0"/>
          <w:numId w:val="2"/>
        </w:numPr>
        <w:jc w:val="both"/>
      </w:pPr>
      <w:r>
        <w:lastRenderedPageBreak/>
        <w:t xml:space="preserve">Afin d’obtenir le courant attendu pour obtenir le couple maximal, </w:t>
      </w:r>
      <w:r w:rsidRPr="00B965D4">
        <w:rPr>
          <w:b/>
          <w:bCs/>
        </w:rPr>
        <w:t>comment doit-on brancher</w:t>
      </w:r>
      <w:r>
        <w:t xml:space="preserve"> les accumulateurs et combien en faut-il ?</w:t>
      </w:r>
    </w:p>
    <w:p w14:paraId="4BE8AB11" w14:textId="77777777" w:rsidR="00B940A4" w:rsidRDefault="00B940A4" w:rsidP="00B940A4">
      <w:pPr>
        <w:jc w:val="both"/>
      </w:pPr>
      <w:r>
        <w:rPr>
          <w:noProof/>
        </w:rPr>
        <w:drawing>
          <wp:anchor distT="0" distB="0" distL="114300" distR="114300" simplePos="0" relativeHeight="251660288" behindDoc="1" locked="0" layoutInCell="1" allowOverlap="1" wp14:anchorId="10B0471E" wp14:editId="55A5101B">
            <wp:simplePos x="0" y="0"/>
            <wp:positionH relativeFrom="column">
              <wp:posOffset>3519805</wp:posOffset>
            </wp:positionH>
            <wp:positionV relativeFrom="paragraph">
              <wp:posOffset>429895</wp:posOffset>
            </wp:positionV>
            <wp:extent cx="2613660" cy="1958340"/>
            <wp:effectExtent l="0" t="0" r="0" b="3810"/>
            <wp:wrapTight wrapText="bothSides">
              <wp:wrapPolygon edited="0">
                <wp:start x="0" y="0"/>
                <wp:lineTo x="0" y="21432"/>
                <wp:lineTo x="21411" y="21432"/>
                <wp:lineTo x="21411" y="0"/>
                <wp:lineTo x="0" y="0"/>
              </wp:wrapPolygon>
            </wp:wrapTight>
            <wp:docPr id="379"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9453" t="19888" r="5224" b="8123"/>
                    <a:stretch/>
                  </pic:blipFill>
                  <pic:spPr bwMode="auto">
                    <a:xfrm>
                      <a:off x="0" y="0"/>
                      <a:ext cx="2613660" cy="1958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Le type d’un bloc d’accumulateurs comme ceux que vous pouvez trouver dans un robot ménager, un VAE, une trottinette électrique (</w:t>
      </w:r>
      <w:proofErr w:type="spellStart"/>
      <w:r>
        <w:t>cf</w:t>
      </w:r>
      <w:proofErr w:type="spellEnd"/>
      <w:r>
        <w:t xml:space="preserve"> image ci-dessous), se désigne par 10S4P. 10S car il y a 10 accus en série et 4P car il y a 4 accumulateurs montés en parallèle.</w:t>
      </w:r>
    </w:p>
    <w:p w14:paraId="37F78EE8" w14:textId="77777777" w:rsidR="00B940A4" w:rsidRDefault="00B940A4" w:rsidP="00B940A4">
      <w:pPr>
        <w:pStyle w:val="Paragraphedeliste"/>
        <w:numPr>
          <w:ilvl w:val="0"/>
          <w:numId w:val="2"/>
        </w:numPr>
        <w:jc w:val="both"/>
      </w:pPr>
      <w:r>
        <w:t xml:space="preserve">Pour votre batterie, </w:t>
      </w:r>
      <w:r w:rsidRPr="00B965D4">
        <w:rPr>
          <w:b/>
          <w:bCs/>
        </w:rPr>
        <w:t>donner</w:t>
      </w:r>
      <w:r>
        <w:t xml:space="preserve"> le type de montage que vous aurez besoin (</w:t>
      </w:r>
      <w:proofErr w:type="spellStart"/>
      <w:r>
        <w:t>xSyP</w:t>
      </w:r>
      <w:proofErr w:type="spellEnd"/>
      <w:r>
        <w:t xml:space="preserve">). En </w:t>
      </w:r>
      <w:r w:rsidRPr="00B965D4">
        <w:rPr>
          <w:b/>
          <w:bCs/>
        </w:rPr>
        <w:t>déduire</w:t>
      </w:r>
      <w:r>
        <w:t xml:space="preserve"> la fourchette de de coûts d’une telle batterie. </w:t>
      </w:r>
      <w:r w:rsidRPr="00B965D4">
        <w:rPr>
          <w:b/>
          <w:bCs/>
        </w:rPr>
        <w:t>Rechercher</w:t>
      </w:r>
      <w:r>
        <w:t xml:space="preserve"> les prix sur internet.</w:t>
      </w:r>
    </w:p>
    <w:p w14:paraId="2F322B0E" w14:textId="77777777" w:rsidR="00B940A4" w:rsidRPr="007109E1" w:rsidRDefault="00B940A4" w:rsidP="00B940A4">
      <w:pPr>
        <w:pStyle w:val="Paragraphedeliste"/>
        <w:jc w:val="both"/>
      </w:pPr>
    </w:p>
    <w:p w14:paraId="32AA8A95" w14:textId="77777777" w:rsidR="00B940A4" w:rsidRPr="00FC728C" w:rsidRDefault="00B940A4" w:rsidP="00B940A4">
      <w:pPr>
        <w:pStyle w:val="Paragraphedeliste"/>
        <w:numPr>
          <w:ilvl w:val="0"/>
          <w:numId w:val="2"/>
        </w:numPr>
        <w:rPr>
          <w:rFonts w:asciiTheme="majorHAnsi" w:eastAsiaTheme="majorEastAsia" w:hAnsiTheme="majorHAnsi" w:cstheme="majorBidi"/>
          <w:color w:val="2F5496" w:themeColor="accent1" w:themeShade="BF"/>
          <w:sz w:val="32"/>
          <w:szCs w:val="32"/>
        </w:rPr>
      </w:pPr>
      <w:r w:rsidRPr="00B965D4">
        <w:rPr>
          <w:b/>
          <w:bCs/>
        </w:rPr>
        <w:t>Calculer</w:t>
      </w:r>
      <w:r w:rsidRPr="00B965D4">
        <w:t xml:space="preserve"> la capacité d’une telle batterie, à partir de la capacité </w:t>
      </w:r>
      <w:r>
        <w:t xml:space="preserve">d’un accumulateur 18650 </w:t>
      </w:r>
      <w:r w:rsidRPr="00B965D4">
        <w:t>donnée dans le document annexe2.</w:t>
      </w:r>
    </w:p>
    <w:p w14:paraId="53934F71" w14:textId="77777777" w:rsidR="00B940A4" w:rsidRPr="00FC728C" w:rsidRDefault="00B940A4" w:rsidP="00B940A4">
      <w:pPr>
        <w:pStyle w:val="Paragraphedeliste"/>
        <w:rPr>
          <w:rFonts w:asciiTheme="majorHAnsi" w:eastAsiaTheme="majorEastAsia" w:hAnsiTheme="majorHAnsi" w:cstheme="majorBidi"/>
          <w:color w:val="2F5496" w:themeColor="accent1" w:themeShade="BF"/>
          <w:sz w:val="32"/>
          <w:szCs w:val="32"/>
        </w:rPr>
      </w:pPr>
    </w:p>
    <w:p w14:paraId="555B8FAB" w14:textId="77777777" w:rsidR="00B940A4" w:rsidRDefault="00B940A4" w:rsidP="00B940A4">
      <w:pPr>
        <w:pStyle w:val="Paragraphedeliste"/>
        <w:numPr>
          <w:ilvl w:val="0"/>
          <w:numId w:val="2"/>
        </w:numPr>
        <w:rPr>
          <w:color w:val="000000" w:themeColor="text1"/>
        </w:rPr>
      </w:pPr>
      <w:r w:rsidRPr="00FC728C">
        <w:rPr>
          <w:b/>
          <w:bCs/>
          <w:color w:val="000000" w:themeColor="text1"/>
        </w:rPr>
        <w:t>Vérifier</w:t>
      </w:r>
      <w:r w:rsidRPr="00FC728C">
        <w:rPr>
          <w:color w:val="000000" w:themeColor="text1"/>
        </w:rPr>
        <w:t xml:space="preserve"> que la capacité de la batterie v</w:t>
      </w:r>
      <w:r>
        <w:rPr>
          <w:color w:val="000000" w:themeColor="text1"/>
        </w:rPr>
        <w:t>a</w:t>
      </w:r>
      <w:r w:rsidRPr="00FC728C">
        <w:rPr>
          <w:color w:val="000000" w:themeColor="text1"/>
        </w:rPr>
        <w:t xml:space="preserve"> permettre de répondre aux exigences du cahier des charges.</w:t>
      </w:r>
    </w:p>
    <w:p w14:paraId="34A3895C" w14:textId="77777777" w:rsidR="00B940A4" w:rsidRPr="0063653A" w:rsidRDefault="00B940A4" w:rsidP="00B940A4">
      <w:pPr>
        <w:pStyle w:val="Paragraphedeliste"/>
        <w:rPr>
          <w:color w:val="000000" w:themeColor="text1"/>
        </w:rPr>
      </w:pPr>
    </w:p>
    <w:p w14:paraId="00D95A07" w14:textId="77777777" w:rsidR="00B940A4" w:rsidRDefault="00B940A4" w:rsidP="00B940A4">
      <w:pPr>
        <w:pStyle w:val="Titre2"/>
      </w:pPr>
      <w:bookmarkStart w:id="2" w:name="_Toc43918088"/>
      <w:r>
        <w:t>Etude de la sécurité et de la gestion de la charge et décharge de la Batterie</w:t>
      </w:r>
      <w:bookmarkEnd w:id="2"/>
    </w:p>
    <w:p w14:paraId="2D5F7C96" w14:textId="77777777" w:rsidR="00B940A4" w:rsidRPr="00FC728C" w:rsidRDefault="00B940A4" w:rsidP="00B940A4">
      <w:pPr>
        <w:pStyle w:val="Paragraphedeliste"/>
        <w:rPr>
          <w:color w:val="000000" w:themeColor="text1"/>
        </w:rPr>
      </w:pPr>
    </w:p>
    <w:p w14:paraId="433B4941" w14:textId="77777777" w:rsidR="00B940A4" w:rsidRDefault="00B940A4" w:rsidP="00B940A4">
      <w:pPr>
        <w:pStyle w:val="Paragraphedeliste"/>
        <w:numPr>
          <w:ilvl w:val="0"/>
          <w:numId w:val="2"/>
        </w:numPr>
        <w:rPr>
          <w:color w:val="000000" w:themeColor="text1"/>
        </w:rPr>
      </w:pPr>
      <w:r>
        <w:rPr>
          <w:color w:val="000000" w:themeColor="text1"/>
        </w:rPr>
        <w:t>Afin de contrôler la charge et la décharge de la batterie nous allons utiliser un BMS. A partir du document en annexe4, d</w:t>
      </w:r>
      <w:r w:rsidRPr="004926DC">
        <w:rPr>
          <w:b/>
          <w:bCs/>
          <w:color w:val="000000" w:themeColor="text1"/>
        </w:rPr>
        <w:t>onner</w:t>
      </w:r>
      <w:r>
        <w:rPr>
          <w:color w:val="000000" w:themeColor="text1"/>
        </w:rPr>
        <w:t xml:space="preserve"> 3 bonnes raisons pour utiliser un BMS plutôt qu’un PCM.</w:t>
      </w:r>
    </w:p>
    <w:p w14:paraId="547621E2" w14:textId="77777777" w:rsidR="00B940A4" w:rsidRPr="004926DC" w:rsidRDefault="00B940A4" w:rsidP="00B940A4">
      <w:pPr>
        <w:pStyle w:val="Paragraphedeliste"/>
        <w:rPr>
          <w:color w:val="000000" w:themeColor="text1"/>
        </w:rPr>
      </w:pPr>
    </w:p>
    <w:p w14:paraId="52FEC666" w14:textId="77777777" w:rsidR="00B940A4" w:rsidRPr="004926DC" w:rsidRDefault="00B940A4" w:rsidP="00B940A4">
      <w:pPr>
        <w:pStyle w:val="Paragraphedeliste"/>
        <w:numPr>
          <w:ilvl w:val="0"/>
          <w:numId w:val="2"/>
        </w:numPr>
        <w:rPr>
          <w:color w:val="000000" w:themeColor="text1"/>
        </w:rPr>
      </w:pPr>
      <w:r>
        <w:rPr>
          <w:color w:val="000000" w:themeColor="text1"/>
        </w:rPr>
        <w:t xml:space="preserve">Afin de choisir votre BMS, utiliser l’analyse du besoin du site de </w:t>
      </w:r>
      <w:proofErr w:type="spellStart"/>
      <w:r>
        <w:rPr>
          <w:color w:val="000000" w:themeColor="text1"/>
        </w:rPr>
        <w:t>BMSpowerSafe</w:t>
      </w:r>
      <w:proofErr w:type="spellEnd"/>
      <w:r>
        <w:rPr>
          <w:color w:val="000000" w:themeColor="text1"/>
        </w:rPr>
        <w:t xml:space="preserve"> </w:t>
      </w:r>
      <w:hyperlink r:id="rId8" w:history="1">
        <w:r w:rsidRPr="00952DB6">
          <w:rPr>
            <w:rStyle w:val="Lienhypertexte"/>
          </w:rPr>
          <w:t>https://bmspowersafe.com/fr/identification-des-besoins-en-bms/</w:t>
        </w:r>
      </w:hyperlink>
      <w:r w:rsidRPr="004926DC">
        <w:rPr>
          <w:color w:val="000000" w:themeColor="text1"/>
        </w:rPr>
        <w:t xml:space="preserve"> </w:t>
      </w:r>
      <w:r>
        <w:rPr>
          <w:color w:val="000000" w:themeColor="text1"/>
        </w:rPr>
        <w:t xml:space="preserve">sans nécessairement envoyer le formulaire par mail, il </w:t>
      </w:r>
      <w:proofErr w:type="spellStart"/>
      <w:r>
        <w:rPr>
          <w:color w:val="000000" w:themeColor="text1"/>
        </w:rPr>
        <w:t>défini</w:t>
      </w:r>
      <w:proofErr w:type="spellEnd"/>
      <w:r>
        <w:rPr>
          <w:color w:val="000000" w:themeColor="text1"/>
        </w:rPr>
        <w:t xml:space="preserve"> en gros les questions qu’il faut se poser pour choisir son BMS.</w:t>
      </w:r>
    </w:p>
    <w:p w14:paraId="130E1518" w14:textId="77777777" w:rsidR="00B940A4" w:rsidRPr="004926DC" w:rsidRDefault="00B940A4" w:rsidP="00B940A4">
      <w:pPr>
        <w:pStyle w:val="Paragraphedeliste"/>
        <w:rPr>
          <w:color w:val="000000" w:themeColor="text1"/>
        </w:rPr>
      </w:pPr>
    </w:p>
    <w:p w14:paraId="1E4BEBA0" w14:textId="77777777" w:rsidR="00B940A4" w:rsidRPr="00FC728C" w:rsidRDefault="00B940A4" w:rsidP="00B940A4">
      <w:pPr>
        <w:pStyle w:val="Paragraphedeliste"/>
        <w:numPr>
          <w:ilvl w:val="0"/>
          <w:numId w:val="2"/>
        </w:numPr>
        <w:rPr>
          <w:color w:val="000000" w:themeColor="text1"/>
        </w:rPr>
      </w:pPr>
      <w:r>
        <w:rPr>
          <w:color w:val="000000" w:themeColor="text1"/>
        </w:rPr>
        <w:t xml:space="preserve">Quel type de BMS devront nous alors </w:t>
      </w:r>
      <w:r w:rsidRPr="00FC728C">
        <w:rPr>
          <w:b/>
          <w:bCs/>
          <w:color w:val="000000" w:themeColor="text1"/>
        </w:rPr>
        <w:t>utiliser</w:t>
      </w:r>
      <w:r>
        <w:rPr>
          <w:b/>
          <w:bCs/>
          <w:color w:val="000000" w:themeColor="text1"/>
        </w:rPr>
        <w:t> ?</w:t>
      </w:r>
    </w:p>
    <w:p w14:paraId="619B0B8D" w14:textId="77777777" w:rsidR="00B940A4" w:rsidRDefault="00B940A4" w:rsidP="00B940A4">
      <w:pPr>
        <w:pStyle w:val="Paragraphedeliste"/>
      </w:pPr>
    </w:p>
    <w:p w14:paraId="1417036E" w14:textId="77777777" w:rsidR="00B940A4" w:rsidRDefault="00B940A4" w:rsidP="00B940A4"/>
    <w:p w14:paraId="1BC1B029" w14:textId="51EB5951" w:rsidR="000973A3" w:rsidRDefault="00B940A4" w:rsidP="00B940A4">
      <w:r>
        <w:br w:type="page"/>
      </w:r>
    </w:p>
    <w:sectPr w:rsidR="00097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7938"/>
    <w:multiLevelType w:val="hybridMultilevel"/>
    <w:tmpl w:val="ACC0ABA6"/>
    <w:lvl w:ilvl="0" w:tplc="4C2E09C2">
      <w:start w:val="1"/>
      <w:numFmt w:val="decimal"/>
      <w:lvlText w:val="Question %1."/>
      <w:lvlJc w:val="left"/>
      <w:pPr>
        <w:ind w:left="720" w:hanging="360"/>
      </w:pPr>
      <w:rPr>
        <w:rFonts w:asciiTheme="minorHAnsi" w:hAnsiTheme="minorHAnsi" w:cstheme="minorHAnsi" w:hint="default"/>
        <w:b/>
        <w:bCs/>
        <w:i/>
        <w:iCs/>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A10E76"/>
    <w:multiLevelType w:val="multilevel"/>
    <w:tmpl w:val="DC6E2A4C"/>
    <w:lvl w:ilvl="0">
      <w:start w:val="7"/>
      <w:numFmt w:val="decimal"/>
      <w:lvlText w:val="Activité %1."/>
      <w:lvlJc w:val="left"/>
      <w:pPr>
        <w:ind w:left="0" w:firstLine="0"/>
      </w:pPr>
      <w:rPr>
        <w:rFonts w:hint="default"/>
      </w:rPr>
    </w:lvl>
    <w:lvl w:ilvl="1">
      <w:start w:val="1"/>
      <w:numFmt w:val="upperLetter"/>
      <w:pStyle w:val="Titre2"/>
      <w:lvlText w:val="%2."/>
      <w:lvlJc w:val="left"/>
      <w:pPr>
        <w:ind w:left="720" w:firstLine="0"/>
      </w:pPr>
      <w:rPr>
        <w:rFonts w:hint="default"/>
      </w:rPr>
    </w:lvl>
    <w:lvl w:ilvl="2">
      <w:start w:val="1"/>
      <w:numFmt w:val="decimal"/>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4"/>
    <w:rsid w:val="000973A3"/>
    <w:rsid w:val="00581EB8"/>
    <w:rsid w:val="00883E02"/>
    <w:rsid w:val="00AA58D3"/>
    <w:rsid w:val="00B3033D"/>
    <w:rsid w:val="00B940A4"/>
    <w:rsid w:val="00C47849"/>
    <w:rsid w:val="00F37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92F3"/>
  <w15:chartTrackingRefBased/>
  <w15:docId w15:val="{D1D425CA-A6DC-4A75-9E88-1CB99A1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4"/>
  </w:style>
  <w:style w:type="paragraph" w:styleId="Titre1">
    <w:name w:val="heading 1"/>
    <w:basedOn w:val="Normal"/>
    <w:next w:val="Normal"/>
    <w:link w:val="Titre1Car"/>
    <w:uiPriority w:val="9"/>
    <w:qFormat/>
    <w:rsid w:val="00B940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40A4"/>
    <w:pPr>
      <w:keepNext/>
      <w:keepLines/>
      <w:numPr>
        <w:ilvl w:val="1"/>
        <w:numId w:val="1"/>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B940A4"/>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B940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940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940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940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940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40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40A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940A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940A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940A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940A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940A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940A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940A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40A4"/>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B940A4"/>
    <w:pPr>
      <w:ind w:left="720"/>
      <w:contextualSpacing/>
    </w:pPr>
  </w:style>
  <w:style w:type="character" w:styleId="Lienhypertexte">
    <w:name w:val="Hyperlink"/>
    <w:basedOn w:val="Policepardfaut"/>
    <w:uiPriority w:val="99"/>
    <w:unhideWhenUsed/>
    <w:rsid w:val="00B94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spowersafe.com/fr/identification-des-besoins-en-bm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2286</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TOULOUSE</dc:creator>
  <cp:keywords/>
  <dc:description/>
  <cp:lastModifiedBy>didier TOULOUSE</cp:lastModifiedBy>
  <cp:revision>2</cp:revision>
  <dcterms:created xsi:type="dcterms:W3CDTF">2020-06-28T08:41:00Z</dcterms:created>
  <dcterms:modified xsi:type="dcterms:W3CDTF">2020-06-28T08:42:00Z</dcterms:modified>
</cp:coreProperties>
</file>